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рӘл-Фарабиатындағы Қазақ Ұлттық Университеті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Биология және биотехнология факультеті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Молекулалық биология және генетика кафедрасы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ПӘН БОЙЫНША ҚОРЫТЫНДЫ ЕМТИХАН БАҒДАРЛАМАСЫ</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1134 «Молекулалық биология»</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Білім бағдарламасы  6В05103-Биотехнология, 6B05108-Биомедицина</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көктемгі семестр, 3курс, 5 семестр</w:t>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кредит саны-6 (3+0+3)</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Оқу формасы –күндізгі</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2024-2025 оқу жылы</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Алматы 2025 ж.</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6В05103</w:t>
      </w:r>
      <w:r w:rsidDel="00000000" w:rsidR="00000000" w:rsidRPr="00000000">
        <w:rPr>
          <w:rFonts w:ascii="Times New Roman" w:cs="Times New Roman" w:eastAsia="Times New Roman" w:hAnsi="Times New Roman"/>
          <w:color w:val="000000"/>
          <w:sz w:val="28"/>
          <w:szCs w:val="28"/>
          <w:rtl w:val="0"/>
        </w:rPr>
        <w:t xml:space="preserve"> – биотехнология, 6B05108 – Биомедицина білім бағдарламалары </w:t>
      </w:r>
      <w:r w:rsidDel="00000000" w:rsidR="00000000" w:rsidRPr="00000000">
        <w:rPr>
          <w:rFonts w:ascii="Times New Roman" w:cs="Times New Roman" w:eastAsia="Times New Roman" w:hAnsi="Times New Roman"/>
          <w:sz w:val="28"/>
          <w:szCs w:val="28"/>
          <w:rtl w:val="0"/>
        </w:rPr>
        <w:t xml:space="preserve"> бойынша негізгі оқу жоспарына сәйкес. Қорытынды  емтихан бағдарламасын әзірлеген молекулалық биология және генетика кафедрасының профессоры, б.ғ.д., ҚР ҰҒА академигі Бисенбаев А.Қ.</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Style w:val="Heading1"/>
        <w:spacing w:before="0" w:lineRule="auto"/>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Молекулалық биология және генетика кафедрасының мәжілісінде қарастырылды және ұсынылды. </w:t>
      </w:r>
    </w:p>
    <w:p w:rsidR="00000000" w:rsidDel="00000000" w:rsidP="00000000" w:rsidRDefault="00000000" w:rsidRPr="00000000" w14:paraId="00000034">
      <w:pPr>
        <w:pStyle w:val="Heading1"/>
        <w:spacing w:before="0" w:lineRule="auto"/>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«____» _________ 2025 ж. Мәжіліс хаттамасы № </w:t>
      </w:r>
      <w:r w:rsidDel="00000000" w:rsidR="00000000" w:rsidRPr="00000000">
        <w:rPr>
          <w:rFonts w:ascii="Times New Roman" w:cs="Times New Roman" w:eastAsia="Times New Roman" w:hAnsi="Times New Roman"/>
          <w:color w:val="000000"/>
          <w:rtl w:val="0"/>
        </w:rPr>
        <w:t xml:space="preserve">____</w:t>
      </w:r>
      <w:r w:rsidDel="00000000" w:rsidR="00000000" w:rsidRPr="00000000">
        <w:rPr>
          <w:rFonts w:ascii="Times New Roman" w:cs="Times New Roman" w:eastAsia="Times New Roman" w:hAnsi="Times New Roman"/>
          <w:b w:val="0"/>
          <w:bCs w:val="0"/>
          <w:color w:val="000000"/>
          <w:rtl w:val="0"/>
        </w:rPr>
        <w:t xml:space="preserve">__. </w:t>
      </w:r>
    </w:p>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меңгерушісі, б.ғ.к., доцент ____________ Жунусбаева Ж.К. </w:t>
      </w:r>
    </w:p>
    <w:p w:rsidR="00000000" w:rsidDel="00000000" w:rsidP="00000000" w:rsidRDefault="00000000" w:rsidRPr="00000000" w14:paraId="0000003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spacing w:before="62" w:lineRule="auto"/>
        <w:ind w:right="227" w:firstLine="567"/>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b w:val="1"/>
          <w:bCs w:val="1"/>
          <w:sz w:val="28"/>
          <w:szCs w:val="28"/>
          <w:rtl w:val="0"/>
        </w:rPr>
        <w:t xml:space="preserve">«Молекулалық биология» </w:t>
      </w:r>
      <w:r w:rsidDel="00000000" w:rsidR="00000000" w:rsidRPr="00000000">
        <w:rPr>
          <w:rFonts w:ascii="Times New Roman" w:cs="Times New Roman" w:eastAsia="Times New Roman" w:hAnsi="Times New Roman"/>
          <w:sz w:val="28"/>
          <w:szCs w:val="28"/>
          <w:rtl w:val="0"/>
        </w:rPr>
        <w:t xml:space="preserve">курс бағдарламасы кредиттік технология негізінде «6В05103-</w:t>
      </w:r>
      <w:r w:rsidDel="00000000" w:rsidR="00000000" w:rsidRPr="00000000">
        <w:rPr>
          <w:rFonts w:ascii="Times New Roman" w:cs="Times New Roman" w:eastAsia="Times New Roman" w:hAnsi="Times New Roman"/>
          <w:color w:val="000000"/>
          <w:sz w:val="28"/>
          <w:szCs w:val="28"/>
          <w:rtl w:val="0"/>
        </w:rPr>
        <w:t xml:space="preserve">биотехнология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6B05108 – Биомедицина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білім бағдарламалары </w:t>
      </w:r>
      <w:r w:rsidDel="00000000" w:rsidR="00000000" w:rsidRPr="00000000">
        <w:rPr>
          <w:rFonts w:ascii="Times New Roman" w:cs="Times New Roman" w:eastAsia="Times New Roman" w:hAnsi="Times New Roman"/>
          <w:sz w:val="28"/>
          <w:szCs w:val="28"/>
          <w:rtl w:val="0"/>
        </w:rPr>
        <w:t xml:space="preserve"> бойынша бакалавр-студенттерді дайындайтын университеттерге арналған базалық курс болып табылады.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Пән бойынша қорытынды емтихан алу әдісі – Тест, оффлайн.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Тестілеуді бақылау - интерактивті прокторинг. Прокторлау технологиясы (ағылшынша «proctor» - емтихан барысын бақылау үшін).Прокторлар әдеттегідей сыныптағы емтихандағыдай емтихан алушылардың тестіден адал өтуіне: олар тапсырмаларды өздігінен орындауын және қосымша материалдар пайдаланбауына көз жеткізеді. Прокторинг барысында студенттің жұмыс үстелі, жақтаудағы беттер саны, бөгде дыбыстар немесе дауыстар, тіпті көзқарас қозғалыстары (киберпрокторлау) бақыланады. Емтихан барысында аралас прокторлау қолданылады: бағдарламаның жазбалары бар емтиханның бейнежазбасын проктор маман қосымша көреді және заң бұзушылықтардың болған-болмағанын шешеді.</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Емтихан уақыты: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Емтихан кесте бойынша өткізіледі.</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Емтихан ұзақтығы: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Тест  ұзақтығы 40 сұрақ үшін 90 минут құрайды.</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Мүмкіндік саны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 1 сұрақта 1 дұрыс жауап. Тест сұрақтарының күрделілігі- орташа.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«Молекулалық биология» пәні бойынша қорытынды емтиханды бағалау шкаласы: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Дұрыс жауап  2,5 баллмен бағаланады. 40 сұраққа дұрыс жауап 100 балл</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 (90-100%)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студент оқу материалын мұқият зерттеді; қойылған сұрақтарға дәйекті және толық жауап береді; алған білімдерін практикада еркін қолданады.</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 (75-89%)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студент оқу материалын біледі; жауап беру кезінде елеулі қателіктерге жол бермейді; алған білімін тәжірибеде қолдана алады.</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 (60-74%)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студент тек негізгі материалды біледі, әрдайым нақты және толық жауап бермейді.</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 (50-59%)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студенттің оқылатын материал туралы жеке түсініктері бар; қойылған сұрақтарға толық және дұрыс жауап бере алмайды, жауап беру кезінде ол дөрекі қателіктер жібереді.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Емтихан тест сұрақтарының жауабын бағалау расбалловкасы:</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Өте жақсы: 90 – 100 балл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Жақсы: 70-89 балл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Қанағаттанарлық: 50-69 балл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Қанағаттанарлық емес: 0-49 балл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ТАПСЫРМАЛАРДЫҢ ТАҚЫРЫПТЫҚ ЖОСПАРЫ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574.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
        <w:gridCol w:w="8979"/>
        <w:tblGridChange w:id="0">
          <w:tblGrid>
            <w:gridCol w:w="595"/>
            <w:gridCol w:w="8979"/>
          </w:tblGrid>
        </w:tblGridChange>
      </w:tblGrid>
      <w:tr>
        <w:trPr>
          <w:cantSplit w:val="0"/>
          <w:trHeight w:val="275"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0" w:right="294"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214" w:right="3214"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Тақырыптың аты</w:t>
            </w:r>
          </w:p>
        </w:tc>
      </w:tr>
      <w:tr>
        <w:trPr>
          <w:cantSplit w:val="0"/>
          <w:trHeight w:val="280" w:hRule="atLeast"/>
          <w:tblHeader w:val="0"/>
        </w:trPr>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0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Нуклеин қышқылдарының биологиялық маңызы. Нуклеин қышқылдарының тұқым қуалағыш қасиеттерді анықтайтындығы туралы дәлелді деректер.</w:t>
            </w:r>
          </w:p>
        </w:tc>
      </w:tr>
      <w:tr>
        <w:trPr>
          <w:cantSplit w:val="0"/>
          <w:trHeight w:val="479"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75">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Нуклеин қышқылдарының құрамы. Чаргафф ашқан нқ құрылысындағы ережелер, нуклеотидтердің құрамы мен түрлері. Нуклеин қышқылдарының негізгі химиялық - физикалық қасиеттері.</w:t>
            </w: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ДНҚ молекуласының макромолекулалық структурасы. Қос спиральды ДНҚ-ның Уотсон жəне Крик моделі. Қос тізбекті ДНҚ молекуласының Уотсон жəне Крик ұсынған моделі, оның дəлелдемелері.</w:t>
            </w:r>
          </w:p>
        </w:tc>
      </w:tr>
      <w:tr>
        <w:trPr>
          <w:cantSplit w:val="0"/>
          <w:trHeight w:val="639"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Нуклеотидтердің ДНҚ тізбегіндегі орналасу тәртібін анықтау əдістері. (Максам-Гильберт жəне Сэнгер əдістері). Максам-Гильберт жəне Сэнгер əдістері.</w:t>
            </w:r>
          </w:p>
        </w:tc>
      </w:tr>
      <w:tr>
        <w:trPr>
          <w:cantSplit w:val="0"/>
          <w:trHeight w:val="639"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ДНҚ репликациясының жартылай консервативті механизмі. Репликация процесінің жалпы бейнесі. Мезельсон жəне Сталь тəжірибесі.</w:t>
            </w:r>
          </w:p>
        </w:tc>
      </w:tr>
      <w:tr>
        <w:trPr>
          <w:cantSplit w:val="0"/>
          <w:trHeight w:val="639"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Репликацияның Корнберг  ұсынған моделі. Репликация процесінің бағыты жəне басталу нүктелері. Репликация энзимиологиясы туралы жалпы түсінік. ДНҚ молекуласының үздіксіз синтезі (Оказаки фрагменті).</w:t>
            </w:r>
          </w:p>
        </w:tc>
      </w:tr>
      <w:tr>
        <w:trPr>
          <w:cantSplit w:val="0"/>
          <w:trHeight w:val="639"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Геннің құрылысы жəне транскрипцияның молекулалық механиизмі. Транскрипция процесінің ферментативтік аппараты. Транскрипция процесі жəне оның инициация, элангация жəне терминация сатылары. РНҚ полимераза ферменті, түрлері.</w:t>
            </w:r>
          </w:p>
        </w:tc>
      </w:tr>
      <w:tr>
        <w:trPr>
          <w:cantSplit w:val="0"/>
          <w:trHeight w:val="639" w:hRule="atLeast"/>
          <w:tblHeader w:val="0"/>
        </w:trPr>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Генетикалық код жəне ген жұмысының қадағалануы. Геннің экспрессиясының реттелуі. Генетикалық код, оның негізгі қасиеттері: триплеттік, үздіксіз, бүркелмейтіндік, бірмағыналылы  əмбебаптылық жəне т.б.</w:t>
            </w:r>
          </w:p>
        </w:tc>
      </w:tr>
      <w:tr>
        <w:trPr>
          <w:cantSplit w:val="0"/>
          <w:trHeight w:val="639"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Трансляция процесіне жалпы көзқарас. РНҚ түрлері. Тасымалдаушы РНҚ молекуласы, оның құрамы жəне трансляция процесіндегі акцепторлық жəне адапторлық қызметі.</w:t>
            </w:r>
          </w:p>
        </w:tc>
      </w:tr>
      <w:tr>
        <w:trPr>
          <w:cantSplit w:val="0"/>
          <w:trHeight w:val="639"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Трансляция процесінің аппараты. Негізгі сатылары жəне қатысушы элементтері. Трансляция процесінің инициация, элонгация жəне терминация сатылары.</w:t>
            </w:r>
          </w:p>
        </w:tc>
      </w:tr>
      <w:tr>
        <w:trPr>
          <w:cantSplit w:val="0"/>
          <w:trHeight w:val="639"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w:t>
            </w:r>
          </w:p>
        </w:tc>
        <w:tc>
          <w:tcPr/>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Конститувті жəне индуцебельді ферменттер. Гендер экспрессиясының транскрипция реттелуі. Жакоб пен Моно моделі. Гендер экспрессиясының транскрипция реттелуі. Жакоб пен Моно моделі.</w:t>
            </w:r>
          </w:p>
        </w:tc>
      </w:tr>
      <w:tr>
        <w:trPr>
          <w:cantSplit w:val="0"/>
          <w:trHeight w:val="639"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ДНҚ репарациясына жалпы түсінік, мутагенді механизмдер. Нуклеин қышқылдарының мутациялық өзгергіштігі. Репарация типтері. Спонтанды жəне индукцияланған мутациялар. Гендік мутациалар.</w:t>
            </w:r>
          </w:p>
        </w:tc>
      </w:tr>
      <w:tr>
        <w:trPr>
          <w:cantSplit w:val="0"/>
          <w:trHeight w:val="639"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w:t>
            </w:r>
          </w:p>
        </w:tc>
        <w:tc>
          <w:tcPr/>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Генетикалық рекомбинацияның механизмдері. Репарациялық мисмэтч – жүйесі</w:t>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Пострепликативті (рекомбинациялық) репарация SOS- репарация</w:t>
            </w:r>
          </w:p>
        </w:tc>
      </w:tr>
      <w:tr>
        <w:trPr>
          <w:cantSplit w:val="0"/>
          <w:trHeight w:val="639"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Полимеразалық тізбектік реакция туралы түсінік. Полимеразалық тізбектік реакцияның әртүрлілігі. Қолдану аясы.  Полимеразалық тізбектік реакцияның әртүрлілігі. Праймерлер. Матрица. Полимераза. Амплификатор.</w:t>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c>
          <w:tcPr/>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 экспрессиясын анықтау және зерттеу  әдістері. Нозерн блотинг, Саузерн блоттинг және Вестерн блоттинг әдістерінің қысқаша сипаттамасы, принциптері. </w:t>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spacing w:before="90" w:line="274" w:lineRule="auto"/>
        <w:ind w:left="4237"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Әдебиеттер:</w:t>
      </w:r>
    </w:p>
    <w:p w:rsidR="00000000" w:rsidDel="00000000" w:rsidP="00000000" w:rsidRDefault="00000000" w:rsidRPr="00000000" w14:paraId="00000096">
      <w:pPr>
        <w:keepNext w:val="1"/>
        <w:tabs>
          <w:tab w:val="center" w:leader="none" w:pos="9639"/>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Негізгі:</w:t>
      </w:r>
    </w:p>
    <w:p w:rsidR="00000000" w:rsidDel="00000000" w:rsidP="00000000" w:rsidRDefault="00000000" w:rsidRPr="00000000" w14:paraId="00000097">
      <w:pPr>
        <w:widowControl w:val="0"/>
        <w:numPr>
          <w:ilvl w:val="0"/>
          <w:numId w:val="2"/>
        </w:numPr>
        <w:spacing w:after="0" w:line="240"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С.Н. Щелкунов “Генетическая инженерия”, СУИ, Новосибирск – 2004.</w:t>
      </w:r>
    </w:p>
    <w:p w:rsidR="00000000" w:rsidDel="00000000" w:rsidP="00000000" w:rsidRDefault="00000000" w:rsidRPr="00000000" w14:paraId="00000098">
      <w:pPr>
        <w:widowControl w:val="0"/>
        <w:numPr>
          <w:ilvl w:val="0"/>
          <w:numId w:val="2"/>
        </w:numPr>
        <w:spacing w:after="0" w:line="240"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Глик, Дж. Пастернак “Молекулярная биотехнология. Принципы и применение”, М., “Мир”, 2002. </w:t>
      </w:r>
    </w:p>
    <w:p w:rsidR="00000000" w:rsidDel="00000000" w:rsidP="00000000" w:rsidRDefault="00000000" w:rsidRPr="00000000" w14:paraId="00000099">
      <w:pPr>
        <w:numPr>
          <w:ilvl w:val="0"/>
          <w:numId w:val="2"/>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Уотсон Дж., Туз Дж., Куру Д. Рекомбинантные ДНК. М.:Мир,1986.</w:t>
      </w:r>
    </w:p>
    <w:p w:rsidR="00000000" w:rsidDel="00000000" w:rsidP="00000000" w:rsidRDefault="00000000" w:rsidRPr="00000000" w14:paraId="0000009A">
      <w:pPr>
        <w:numPr>
          <w:ilvl w:val="0"/>
          <w:numId w:val="2"/>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Маниатис, Э. Фрич, Дж. Сэмбрук. Методы генетической инженерии. Молекулярное  клонирование. М., Мир, 1984. </w:t>
      </w:r>
    </w:p>
    <w:p w:rsidR="00000000" w:rsidDel="00000000" w:rsidP="00000000" w:rsidRDefault="00000000" w:rsidRPr="00000000" w14:paraId="0000009B">
      <w:pPr>
        <w:numPr>
          <w:ilvl w:val="0"/>
          <w:numId w:val="2"/>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С.Г.Инге-Вечтомов. Введение в молекулярную генетику. М., ВШ, 1983. </w:t>
      </w:r>
    </w:p>
    <w:p w:rsidR="00000000" w:rsidDel="00000000" w:rsidP="00000000" w:rsidRDefault="00000000" w:rsidRPr="00000000" w14:paraId="0000009C">
      <w:pPr>
        <w:numPr>
          <w:ilvl w:val="0"/>
          <w:numId w:val="2"/>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Новое в клонировании ДНК. Методы. М., Мир, 1989 (под ред. Д. Гловера).             Б. Льюин. Гены. М., Мир, 1987. </w:t>
      </w:r>
    </w:p>
    <w:p w:rsidR="00000000" w:rsidDel="00000000" w:rsidP="00000000" w:rsidRDefault="00000000" w:rsidRPr="00000000" w14:paraId="0000009D">
      <w:pPr>
        <w:numPr>
          <w:ilvl w:val="0"/>
          <w:numId w:val="2"/>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Мобильность генома растений.  М., ВО «Агропромиздатң, 1990 (под ред. Б. Хон и Е. С. Деннис). </w:t>
      </w:r>
    </w:p>
    <w:p w:rsidR="00000000" w:rsidDel="00000000" w:rsidP="00000000" w:rsidRDefault="00000000" w:rsidRPr="00000000" w14:paraId="0000009E">
      <w:pPr>
        <w:numPr>
          <w:ilvl w:val="0"/>
          <w:numId w:val="2"/>
        </w:numPr>
        <w:spacing w:after="0" w:line="24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 С. Пирузян. Основы генетической инженерии растений. М., Наука, 1988.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Қосымша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numPr>
          <w:ilvl w:val="0"/>
          <w:numId w:val="1"/>
        </w:numPr>
        <w:spacing w:after="0" w:line="240" w:lineRule="auto"/>
        <w:ind w:left="459"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Г.Стент, Р.Кэлиндар. Молекулярная генетика. М. Мир, 1981.</w:t>
      </w:r>
    </w:p>
    <w:p w:rsidR="00000000" w:rsidDel="00000000" w:rsidP="00000000" w:rsidRDefault="00000000" w:rsidRPr="00000000" w14:paraId="000000A3">
      <w:pPr>
        <w:numPr>
          <w:ilvl w:val="0"/>
          <w:numId w:val="1"/>
        </w:numPr>
        <w:spacing w:after="0" w:line="240" w:lineRule="auto"/>
        <w:ind w:left="459"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Дж.Уотсон. Молекулярная биология гена. М., Мир, 1979. </w:t>
      </w:r>
    </w:p>
    <w:p w:rsidR="00000000" w:rsidDel="00000000" w:rsidP="00000000" w:rsidRDefault="00000000" w:rsidRPr="00000000" w14:paraId="000000A4">
      <w:pPr>
        <w:numPr>
          <w:ilvl w:val="0"/>
          <w:numId w:val="1"/>
        </w:numPr>
        <w:spacing w:after="0" w:line="240" w:lineRule="auto"/>
        <w:ind w:left="459"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Генная инженерия (под ред. Акад. А.А.Баева). Молекулярная биология, т. 123, 4.1, М., ВИНИТИ, 1977. </w:t>
      </w:r>
    </w:p>
    <w:p w:rsidR="00000000" w:rsidDel="00000000" w:rsidP="00000000" w:rsidRDefault="00000000" w:rsidRPr="00000000" w14:paraId="000000A5">
      <w:pPr>
        <w:numPr>
          <w:ilvl w:val="0"/>
          <w:numId w:val="1"/>
        </w:numPr>
        <w:spacing w:after="0" w:line="240" w:lineRule="auto"/>
        <w:ind w:left="459"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Пташне. Переключение генов. Регуляция генной активности и фаг (. М., Мир, 1988. </w:t>
      </w:r>
    </w:p>
    <w:p w:rsidR="00000000" w:rsidDel="00000000" w:rsidP="00000000" w:rsidRDefault="00000000" w:rsidRPr="00000000" w14:paraId="000000A6">
      <w:pPr>
        <w:numPr>
          <w:ilvl w:val="0"/>
          <w:numId w:val="1"/>
        </w:numPr>
        <w:spacing w:after="0" w:line="240" w:lineRule="auto"/>
        <w:ind w:left="459"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Мейнелл. Бактериальные плазмиды. М., Мир, 1976. </w:t>
      </w:r>
    </w:p>
    <w:p w:rsidR="00000000" w:rsidDel="00000000" w:rsidP="00000000" w:rsidRDefault="00000000" w:rsidRPr="00000000" w14:paraId="000000A7">
      <w:pPr>
        <w:numPr>
          <w:ilvl w:val="0"/>
          <w:numId w:val="1"/>
        </w:numPr>
        <w:spacing w:after="0" w:line="240" w:lineRule="auto"/>
        <w:ind w:left="459"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А. Остерман. Методы исследования белков и нуклеиновых кислот. Электрофорез и ультрацентрифугирование. М., Наука, 1981.</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Интернет-көздері: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6">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http://molbiol.ru/protocol/</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http://molbiol.edu.ru/</w:t>
        </w:r>
      </w:hyperlink>
      <w:r w:rsidDel="00000000" w:rsidR="00000000" w:rsidRPr="00000000">
        <w:rPr>
          <w:rtl w:val="0"/>
        </w:rPr>
      </w:r>
    </w:p>
    <w:p w:rsidR="00000000" w:rsidDel="00000000" w:rsidP="00000000" w:rsidRDefault="00000000" w:rsidRPr="00000000" w14:paraId="000000AB">
      <w:pPr>
        <w:tabs>
          <w:tab w:val="left" w:leader="none" w:pos="482"/>
        </w:tabs>
        <w:spacing w:line="274" w:lineRule="auto"/>
        <w:ind w:hanging="22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ff"/>
          <w:sz w:val="28"/>
          <w:szCs w:val="28"/>
          <w:u w:val="single"/>
          <w:rtl w:val="0"/>
        </w:rPr>
        <w:tab/>
      </w:r>
      <w:hyperlink r:id="rId8">
        <w:r w:rsidDel="00000000" w:rsidR="00000000" w:rsidRPr="00000000">
          <w:rPr>
            <w:rFonts w:ascii="Times New Roman" w:cs="Times New Roman" w:eastAsia="Times New Roman" w:hAnsi="Times New Roman"/>
            <w:color w:val="0000ff"/>
            <w:sz w:val="28"/>
            <w:szCs w:val="28"/>
            <w:u w:val="single"/>
            <w:rtl w:val="0"/>
          </w:rPr>
          <w:t xml:space="preserve">https://biomolecula.ru/</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4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lbiol.ru/protocol/" TargetMode="External"/><Relationship Id="rId7" Type="http://schemas.openxmlformats.org/officeDocument/2006/relationships/hyperlink" Target="http://molbiol.edu.ru/" TargetMode="External"/><Relationship Id="rId8" Type="http://schemas.openxmlformats.org/officeDocument/2006/relationships/hyperlink" Target="https://biomolecula.ru/articles/12-metodov-v-kartinkakh-gennaia-inzheneriia-chast-i-istorichesk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